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w:cs="Helvetica Neue" w:eastAsia="Helvetica Neue" w:hAnsi="Helvetica Neue"/>
          <w:b w:val="1"/>
          <w:color w:val="ffff00"/>
          <w:sz w:val="28"/>
          <w:szCs w:val="28"/>
          <w:highlight w:val="black"/>
        </w:rPr>
      </w:pPr>
      <w:r w:rsidDel="00000000" w:rsidR="00000000" w:rsidRPr="00000000">
        <w:rPr>
          <w:rFonts w:ascii="Helvetica Neue" w:cs="Helvetica Neue" w:eastAsia="Helvetica Neue" w:hAnsi="Helvetica Neue"/>
          <w:b w:val="1"/>
          <w:color w:val="ffff00"/>
          <w:sz w:val="28"/>
          <w:szCs w:val="28"/>
          <w:highlight w:val="black"/>
          <w:rtl w:val="0"/>
        </w:rPr>
        <w:t xml:space="preserve">WEEE Directive</w:t>
      </w:r>
    </w:p>
    <w:p w:rsidR="00000000" w:rsidDel="00000000" w:rsidP="00000000" w:rsidRDefault="00000000" w:rsidRPr="00000000" w14:paraId="00000005">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Approved by TaylorWessing</w:t>
      </w:r>
    </w:p>
    <w:p w:rsidR="00000000" w:rsidDel="00000000" w:rsidP="00000000" w:rsidRDefault="00000000" w:rsidRPr="00000000" w14:paraId="00000007">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8">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Overview</w:t>
      </w:r>
      <w:r w:rsidDel="00000000" w:rsidR="00000000" w:rsidRPr="00000000">
        <w:rPr>
          <w:rFonts w:ascii="Helvetica Neue Light" w:cs="Helvetica Neue Light" w:eastAsia="Helvetica Neue Light" w:hAnsi="Helvetica Neue Light"/>
          <w:sz w:val="20"/>
          <w:szCs w:val="20"/>
          <w:rtl w:val="0"/>
        </w:rPr>
        <w:t xml:space="preserve"> &gt; According to the German Electrical and Electronic Equipment Act (ElektroG), any manufacturer or retailer who wants to place electrical and electronic equipment on the market in Germany for the first time is obliged to register with stiftung ear beforehand. If registration is successful, the registered party is assigned a unique WEEE registration number. WEEE stands for Waste from Electrical and Electronic Equipment</w:t>
      </w:r>
    </w:p>
    <w:p w:rsidR="00000000" w:rsidDel="00000000" w:rsidP="00000000" w:rsidRDefault="00000000" w:rsidRPr="00000000" w14:paraId="0000000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Supplier target</w:t>
      </w:r>
      <w:r w:rsidDel="00000000" w:rsidR="00000000" w:rsidRPr="00000000">
        <w:rPr>
          <w:rFonts w:ascii="Helvetica Neue Light" w:cs="Helvetica Neue Light" w:eastAsia="Helvetica Neue Light" w:hAnsi="Helvetica Neue Light"/>
          <w:sz w:val="20"/>
          <w:szCs w:val="20"/>
          <w:rtl w:val="0"/>
        </w:rPr>
        <w:t xml:space="preserve"> &gt; manufacturers or retailers who want to place electrical and electronic equipment on the market in Germany</w:t>
      </w:r>
    </w:p>
    <w:p w:rsidR="00000000" w:rsidDel="00000000" w:rsidP="00000000" w:rsidRDefault="00000000" w:rsidRPr="00000000" w14:paraId="0000000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Scoring</w:t>
      </w:r>
      <w:r w:rsidDel="00000000" w:rsidR="00000000" w:rsidRPr="00000000">
        <w:rPr>
          <w:rFonts w:ascii="Helvetica Neue Light" w:cs="Helvetica Neue Light" w:eastAsia="Helvetica Neue Light" w:hAnsi="Helvetica Neue Light"/>
          <w:sz w:val="20"/>
          <w:szCs w:val="20"/>
          <w:rtl w:val="0"/>
        </w:rPr>
        <w:t xml:space="preserve"> &gt; this assessment is not scored</w:t>
      </w:r>
    </w:p>
    <w:p w:rsidR="00000000" w:rsidDel="00000000" w:rsidP="00000000" w:rsidRDefault="00000000" w:rsidRPr="00000000" w14:paraId="0000000D">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E">
      <w:pPr>
        <w:rPr/>
      </w:pPr>
      <w:r w:rsidDel="00000000" w:rsidR="00000000" w:rsidRPr="00000000">
        <w:rPr>
          <w:rFonts w:ascii="Helvetica Neue" w:cs="Helvetica Neue" w:eastAsia="Helvetica Neue" w:hAnsi="Helvetica Neue"/>
          <w:b w:val="1"/>
          <w:i w:val="1"/>
          <w:sz w:val="20"/>
          <w:szCs w:val="20"/>
          <w:rtl w:val="0"/>
        </w:rPr>
        <w:t xml:space="preserve">🚩 </w:t>
      </w:r>
      <w:r w:rsidDel="00000000" w:rsidR="00000000" w:rsidRPr="00000000">
        <w:rPr>
          <w:rFonts w:ascii="Helvetica Neue" w:cs="Helvetica Neue" w:eastAsia="Helvetica Neue" w:hAnsi="Helvetica Neue"/>
          <w:b w:val="1"/>
          <w:sz w:val="20"/>
          <w:szCs w:val="20"/>
          <w:rtl w:val="0"/>
        </w:rPr>
        <w:t xml:space="preserve">Red flag questions</w:t>
      </w:r>
      <w:r w:rsidDel="00000000" w:rsidR="00000000" w:rsidRPr="00000000">
        <w:rPr>
          <w:rFonts w:ascii="Helvetica Neue Light" w:cs="Helvetica Neue Light" w:eastAsia="Helvetica Neue Light" w:hAnsi="Helvetica Neue Light"/>
          <w:sz w:val="20"/>
          <w:szCs w:val="20"/>
          <w:rtl w:val="0"/>
        </w:rPr>
        <w:t xml:space="preserve"> &gt; there are no red flags in this assessment</w:t>
      </w:r>
      <w:r w:rsidDel="00000000" w:rsidR="00000000" w:rsidRPr="00000000">
        <w:rPr>
          <w:rtl w:val="0"/>
        </w:rPr>
      </w:r>
    </w:p>
    <w:p w:rsidR="00000000" w:rsidDel="00000000" w:rsidP="00000000" w:rsidRDefault="00000000" w:rsidRPr="00000000" w14:paraId="0000000F">
      <w:pPr>
        <w:ind w:left="0" w:firstLine="0"/>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0">
      <w:pPr>
        <w:ind w:left="0" w:firstLine="0"/>
        <w:rPr>
          <w:rFonts w:ascii="Helvetica Neue Light" w:cs="Helvetica Neue Light" w:eastAsia="Helvetica Neue Light" w:hAnsi="Helvetica Neue Light"/>
        </w:rPr>
      </w:pPr>
      <w:r w:rsidDel="00000000" w:rsidR="00000000" w:rsidRPr="00000000">
        <w:rPr>
          <w:rFonts w:ascii="Helvetica Neue" w:cs="Helvetica Neue" w:eastAsia="Helvetica Neue" w:hAnsi="Helvetica Neue"/>
          <w:b w:val="1"/>
          <w:rtl w:val="0"/>
        </w:rPr>
        <w:t xml:space="preserve">Additional notes</w:t>
      </w:r>
      <w:r w:rsidDel="00000000" w:rsidR="00000000" w:rsidRPr="00000000">
        <w:rPr>
          <w:rFonts w:ascii="Helvetica Neue Light" w:cs="Helvetica Neue Light" w:eastAsia="Helvetica Neue Light" w:hAnsi="Helvetica Neue Light"/>
          <w:rtl w:val="0"/>
        </w:rPr>
        <w:t xml:space="preserve"> &gt; the WEEE number of businesses where this is relevant will appear on POI level under the Data tab on their target profile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